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946"/>
        </w:tabs>
        <w:ind w:left="-237" w:leftChars="-135" w:right="-197" w:rightChars="-94" w:hanging="46" w:hangingChars="32"/>
        <w:jc w:val="center"/>
        <w:rPr>
          <w:rFonts w:hint="eastAsia"/>
          <w:b/>
          <w:color w:val="FF0000"/>
          <w:w w:val="90"/>
          <w:sz w:val="16"/>
          <w:szCs w:val="16"/>
        </w:rPr>
      </w:pPr>
    </w:p>
    <w:p>
      <w:pPr>
        <w:tabs>
          <w:tab w:val="left" w:pos="6946"/>
        </w:tabs>
        <w:ind w:left="-237" w:leftChars="-135" w:right="-197" w:rightChars="-94" w:hanging="46" w:hangingChars="32"/>
        <w:jc w:val="center"/>
        <w:rPr>
          <w:rFonts w:hint="eastAsia"/>
          <w:b/>
          <w:color w:val="FF0000"/>
          <w:w w:val="90"/>
          <w:sz w:val="16"/>
          <w:szCs w:val="16"/>
        </w:rPr>
      </w:pPr>
    </w:p>
    <w:p>
      <w:pPr>
        <w:tabs>
          <w:tab w:val="left" w:pos="6946"/>
        </w:tabs>
        <w:ind w:left="-237" w:leftChars="-135" w:right="-197" w:rightChars="-94" w:hanging="46" w:hangingChars="32"/>
        <w:jc w:val="center"/>
        <w:rPr>
          <w:b/>
          <w:color w:val="FF0000"/>
          <w:w w:val="90"/>
          <w:sz w:val="84"/>
          <w:szCs w:val="84"/>
        </w:rPr>
      </w:pPr>
      <w:r>
        <w:rPr>
          <w:rFonts w:hint="eastAsia"/>
          <w:b/>
          <w:color w:val="FF0000"/>
          <w:w w:val="90"/>
          <w:sz w:val="16"/>
          <w:szCs w:val="16"/>
        </w:rPr>
        <w:t xml:space="preserve"> </w:t>
      </w:r>
    </w:p>
    <w:p/>
    <w:p>
      <w:pPr>
        <w:spacing w:line="52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船会</w:t>
      </w:r>
      <w:bookmarkStart w:id="0" w:name="_Hlk68623136"/>
      <w:r>
        <w:rPr>
          <w:rFonts w:hint="eastAsia" w:ascii="仿宋_GB2312" w:hAnsi="宋体" w:eastAsia="仿宋_GB2312" w:cs="Arial"/>
          <w:sz w:val="32"/>
          <w:szCs w:val="32"/>
        </w:rPr>
        <w:t>〔2021〕</w:t>
      </w:r>
      <w:r>
        <w:rPr>
          <w:rFonts w:hint="eastAsia" w:ascii="仿宋_GB2312" w:hAnsi="宋体" w:eastAsia="仿宋_GB2312" w:cs="Arial"/>
          <w:sz w:val="32"/>
          <w:szCs w:val="32"/>
          <w:lang w:val="en-US" w:eastAsia="zh-CN"/>
        </w:rPr>
        <w:t>82</w:t>
      </w:r>
      <w:r>
        <w:rPr>
          <w:rFonts w:hint="eastAsia" w:ascii="仿宋_GB2312" w:hAnsi="宋体" w:eastAsia="仿宋_GB2312" w:cs="Arial"/>
          <w:sz w:val="32"/>
          <w:szCs w:val="32"/>
        </w:rPr>
        <w:t>号</w:t>
      </w:r>
      <w:bookmarkEnd w:id="0"/>
    </w:p>
    <w:p/>
    <w:p>
      <w:pPr>
        <w:rPr>
          <w:rFonts w:hint="eastAsia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 w:cs="Times New Roman"/>
          <w:sz w:val="44"/>
          <w:szCs w:val="44"/>
        </w:rPr>
      </w:pPr>
      <w:bookmarkStart w:id="1" w:name="_GoBack"/>
      <w:r>
        <w:rPr>
          <w:rFonts w:hint="eastAsia" w:ascii="方正小标宋简体" w:hAnsi="宋体" w:eastAsia="方正小标宋简体" w:cs="Times New Roman"/>
          <w:sz w:val="44"/>
          <w:szCs w:val="44"/>
        </w:rPr>
        <w:t>关于下达第七批团体标准计划的通知</w:t>
      </w:r>
    </w:p>
    <w:bookmarkEnd w:id="1"/>
    <w:p>
      <w:pPr>
        <w:jc w:val="center"/>
        <w:rPr>
          <w:rFonts w:hint="eastAsia" w:ascii="仿宋" w:hAnsi="仿宋" w:eastAsia="仿宋"/>
          <w:b/>
        </w:rPr>
      </w:pPr>
    </w:p>
    <w:p>
      <w:pPr>
        <w:adjustRightInd w:val="0"/>
        <w:snapToGrid w:val="0"/>
        <w:spacing w:line="480" w:lineRule="auto"/>
        <w:jc w:val="left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各有关单位：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根据学会团体标准编制年度工作计划，经前期组织专家函审和立项公示，按照《中国造船工程学会标准制定管理办法》规定的工作程序，学会决定下达第七批团体标准计划（见附件），本批计划共计8项标准。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请各有关单位按计划组织开展标准编制工作，在计划执行中加强协调，广泛征求意见，确保标准质量和按期完成。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附件：第七批中国造船工程学会标准计划项目汇总表</w:t>
      </w:r>
    </w:p>
    <w:p>
      <w:pPr>
        <w:adjustRightInd w:val="0"/>
        <w:snapToGrid w:val="0"/>
        <w:spacing w:line="360" w:lineRule="auto"/>
        <w:ind w:firstLine="420"/>
        <w:jc w:val="left"/>
        <w:rPr>
          <w:rFonts w:hint="eastAsia" w:ascii="仿宋" w:hAnsi="仿宋" w:eastAsia="仿宋"/>
        </w:rPr>
      </w:pPr>
    </w:p>
    <w:p>
      <w:pPr>
        <w:adjustRightInd w:val="0"/>
        <w:snapToGrid w:val="0"/>
        <w:spacing w:line="360" w:lineRule="auto"/>
        <w:ind w:firstLine="420"/>
        <w:jc w:val="left"/>
        <w:rPr>
          <w:rFonts w:hint="eastAsia" w:ascii="仿宋" w:hAnsi="仿宋" w:eastAsia="仿宋"/>
        </w:rPr>
      </w:pPr>
    </w:p>
    <w:p>
      <w:pPr>
        <w:adjustRightInd w:val="0"/>
        <w:snapToGrid w:val="0"/>
        <w:spacing w:line="360" w:lineRule="auto"/>
        <w:ind w:firstLine="420"/>
        <w:jc w:val="left"/>
        <w:rPr>
          <w:rFonts w:hint="eastAsia" w:ascii="仿宋" w:hAnsi="仿宋" w:eastAsia="仿宋"/>
        </w:rPr>
      </w:pPr>
    </w:p>
    <w:p>
      <w:pPr>
        <w:adjustRightInd w:val="0"/>
        <w:snapToGrid w:val="0"/>
        <w:spacing w:line="360" w:lineRule="auto"/>
        <w:ind w:firstLine="420"/>
        <w:jc w:val="left"/>
        <w:rPr>
          <w:rFonts w:hint="eastAsia" w:ascii="仿宋" w:hAnsi="仿宋" w:eastAsia="仿宋"/>
        </w:rPr>
      </w:pPr>
    </w:p>
    <w:p>
      <w:pPr>
        <w:adjustRightInd w:val="0"/>
        <w:snapToGrid w:val="0"/>
        <w:spacing w:line="360" w:lineRule="auto"/>
        <w:ind w:firstLine="420"/>
        <w:jc w:val="left"/>
        <w:rPr>
          <w:rFonts w:hint="eastAsia" w:ascii="仿宋" w:hAnsi="仿宋" w:eastAsia="仿宋"/>
        </w:rPr>
      </w:pPr>
    </w:p>
    <w:p>
      <w:pPr>
        <w:adjustRightInd w:val="0"/>
        <w:snapToGrid w:val="0"/>
        <w:spacing w:line="360" w:lineRule="auto"/>
        <w:ind w:firstLine="420"/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中国造船工程学会</w:t>
      </w:r>
    </w:p>
    <w:p>
      <w:pPr>
        <w:adjustRightInd w:val="0"/>
        <w:snapToGrid w:val="0"/>
        <w:spacing w:line="360" w:lineRule="auto"/>
        <w:ind w:firstLine="420"/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2021年9月9日</w:t>
      </w:r>
    </w:p>
    <w:p>
      <w:pPr>
        <w:adjustRightInd w:val="0"/>
        <w:snapToGrid w:val="0"/>
        <w:spacing w:line="360" w:lineRule="auto"/>
        <w:ind w:firstLine="420"/>
        <w:jc w:val="left"/>
        <w:rPr>
          <w:rFonts w:ascii="仿宋" w:hAnsi="仿宋" w:eastAsia="仿宋"/>
        </w:rPr>
      </w:pPr>
    </w:p>
    <w:p>
      <w:pPr>
        <w:adjustRightInd w:val="0"/>
        <w:snapToGrid w:val="0"/>
        <w:spacing w:line="360" w:lineRule="auto"/>
        <w:ind w:firstLine="420"/>
        <w:jc w:val="left"/>
        <w:rPr>
          <w:rFonts w:ascii="仿宋" w:hAnsi="仿宋" w:eastAsia="仿宋"/>
        </w:rPr>
      </w:pPr>
    </w:p>
    <w:p>
      <w:pPr>
        <w:adjustRightInd w:val="0"/>
        <w:snapToGrid w:val="0"/>
        <w:spacing w:line="360" w:lineRule="auto"/>
        <w:ind w:firstLine="420"/>
        <w:jc w:val="left"/>
        <w:rPr>
          <w:rFonts w:ascii="仿宋" w:hAnsi="仿宋" w:eastAsia="仿宋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360" w:lineRule="auto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附件：</w:t>
      </w:r>
    </w:p>
    <w:p>
      <w:pPr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第七批中国造船工程学会标准计划项目汇总表</w:t>
      </w:r>
    </w:p>
    <w:p>
      <w:pPr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b/>
          <w:sz w:val="28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410"/>
        <w:gridCol w:w="5812"/>
        <w:gridCol w:w="47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标准编号</w:t>
            </w:r>
          </w:p>
        </w:tc>
        <w:tc>
          <w:tcPr>
            <w:tcW w:w="5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标准名称</w:t>
            </w:r>
          </w:p>
        </w:tc>
        <w:tc>
          <w:tcPr>
            <w:tcW w:w="47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编制单位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T/CSNAME 040-XXXX</w:t>
            </w:r>
          </w:p>
        </w:tc>
        <w:tc>
          <w:tcPr>
            <w:tcW w:w="5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车间制造执行管控系统与ERP、PDM、SFC集成要求</w:t>
            </w:r>
          </w:p>
        </w:tc>
        <w:tc>
          <w:tcPr>
            <w:tcW w:w="47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上海船舶工艺研究所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T/CSNAME 041-XXXX</w:t>
            </w:r>
          </w:p>
        </w:tc>
        <w:tc>
          <w:tcPr>
            <w:tcW w:w="5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船体分段车间智能仓储物资分类与编码要求</w:t>
            </w:r>
          </w:p>
        </w:tc>
        <w:tc>
          <w:tcPr>
            <w:tcW w:w="4710" w:type="dxa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上海船舶工艺研究所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T/CSNAME 042-XXXX</w:t>
            </w:r>
          </w:p>
        </w:tc>
        <w:tc>
          <w:tcPr>
            <w:tcW w:w="5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船体分段智能车间信息采集与管控要求</w:t>
            </w:r>
          </w:p>
        </w:tc>
        <w:tc>
          <w:tcPr>
            <w:tcW w:w="4710" w:type="dxa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上海船舶工艺研究所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T/CSNAME 043-XXXX</w:t>
            </w:r>
          </w:p>
        </w:tc>
        <w:tc>
          <w:tcPr>
            <w:tcW w:w="5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船体分段智能车间中间产品制造精度管控规范</w:t>
            </w:r>
          </w:p>
        </w:tc>
        <w:tc>
          <w:tcPr>
            <w:tcW w:w="4710" w:type="dxa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上海船舶工艺研究所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T/CSNAME 044-XXXX</w:t>
            </w:r>
          </w:p>
        </w:tc>
        <w:tc>
          <w:tcPr>
            <w:tcW w:w="5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船舶涂装环节典型VOCs防治技术要求</w:t>
            </w:r>
          </w:p>
        </w:tc>
        <w:tc>
          <w:tcPr>
            <w:tcW w:w="47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上海中船临港船舶装备有限公司，上海船舶工艺研究所，中船澄西船舶修造有限公司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T/CSNAME 045-XXXX</w:t>
            </w:r>
          </w:p>
        </w:tc>
        <w:tc>
          <w:tcPr>
            <w:tcW w:w="5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船舶企业典型颗粒物防治技术要求</w:t>
            </w:r>
          </w:p>
        </w:tc>
        <w:tc>
          <w:tcPr>
            <w:tcW w:w="47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上海中船临港船舶装备有限公司，上海船舶工艺研究所，中船澄西船舶修造有限公司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T/CSNAME 046-XXXX</w:t>
            </w:r>
          </w:p>
        </w:tc>
        <w:tc>
          <w:tcPr>
            <w:tcW w:w="5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船舶超高压水除锈作业安全规范</w:t>
            </w:r>
          </w:p>
        </w:tc>
        <w:tc>
          <w:tcPr>
            <w:tcW w:w="47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上海中船临港船舶装备有限公司、上海船舶工艺研究所、广州文冲船舶修造有限公司。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T/CSNAME 047-XXXX</w:t>
            </w:r>
          </w:p>
        </w:tc>
        <w:tc>
          <w:tcPr>
            <w:tcW w:w="5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船用低温钢冰载荷磨损-腐蚀耦合作用试验方法</w:t>
            </w:r>
          </w:p>
        </w:tc>
        <w:tc>
          <w:tcPr>
            <w:tcW w:w="47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上海海事大学</w:t>
            </w:r>
          </w:p>
        </w:tc>
      </w:tr>
    </w:tbl>
    <w:p>
      <w:pPr>
        <w:adjustRightInd w:val="0"/>
        <w:snapToGrid w:val="0"/>
        <w:jc w:val="center"/>
        <w:rPr>
          <w:rFonts w:ascii="仿宋" w:hAnsi="仿宋" w:eastAsia="仿宋"/>
          <w:b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